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937" w:rsidRPr="00C8563A" w:rsidRDefault="007446B9" w:rsidP="00F57937">
      <w:pPr>
        <w:widowControl/>
        <w:snapToGrid w:val="0"/>
        <w:spacing w:after="60" w:line="400" w:lineRule="exact"/>
        <w:jc w:val="center"/>
        <w:rPr>
          <w:b/>
          <w:bCs/>
          <w:kern w:val="0"/>
          <w:sz w:val="28"/>
          <w:szCs w:val="28"/>
        </w:rPr>
      </w:pPr>
      <w:r w:rsidRPr="00C8563A">
        <w:rPr>
          <w:b/>
          <w:bCs/>
          <w:kern w:val="0"/>
          <w:sz w:val="28"/>
          <w:szCs w:val="28"/>
        </w:rPr>
        <w:t>Master Program</w:t>
      </w:r>
    </w:p>
    <w:p w:rsidR="00F57937" w:rsidRPr="00C8563A" w:rsidRDefault="00F57937" w:rsidP="00F57937">
      <w:pPr>
        <w:spacing w:line="400" w:lineRule="exact"/>
        <w:jc w:val="center"/>
        <w:rPr>
          <w:rFonts w:ascii="Palatino Linotype" w:eastAsia="標楷體" w:hAnsi="Palatino Linotype"/>
          <w:b/>
          <w:sz w:val="28"/>
        </w:rPr>
      </w:pPr>
      <w:r w:rsidRPr="00C8563A">
        <w:rPr>
          <w:rFonts w:ascii="Palatino Linotype" w:eastAsia="標楷體" w:hAnsi="Palatino Linotype"/>
          <w:b/>
          <w:sz w:val="28"/>
        </w:rPr>
        <w:t>Industrial Engineering and Management Department, Yuan Ze University</w:t>
      </w:r>
    </w:p>
    <w:p w:rsidR="007446B9" w:rsidRPr="00C8563A" w:rsidRDefault="00F57937" w:rsidP="00F57937">
      <w:pPr>
        <w:widowControl/>
        <w:snapToGrid w:val="0"/>
        <w:spacing w:line="400" w:lineRule="exact"/>
        <w:jc w:val="center"/>
        <w:rPr>
          <w:kern w:val="0"/>
          <w:szCs w:val="24"/>
        </w:rPr>
      </w:pPr>
      <w:r w:rsidRPr="00C8563A">
        <w:rPr>
          <w:rFonts w:ascii="Palatino Linotype" w:eastAsia="標楷體" w:hAnsi="Palatino Linotype"/>
          <w:sz w:val="28"/>
        </w:rPr>
        <w:t xml:space="preserve">(Applicable for the students enrolled in the academic year </w:t>
      </w:r>
      <w:r w:rsidRPr="00C8563A">
        <w:rPr>
          <w:rFonts w:ascii="Palatino Linotype" w:eastAsia="標楷體" w:hAnsi="Palatino Linotype" w:hint="eastAsia"/>
          <w:sz w:val="28"/>
        </w:rPr>
        <w:t>20</w:t>
      </w:r>
      <w:r w:rsidR="00331835">
        <w:rPr>
          <w:rFonts w:ascii="Palatino Linotype" w:eastAsia="標楷體" w:hAnsi="Palatino Linotype" w:hint="eastAsia"/>
          <w:sz w:val="28"/>
        </w:rPr>
        <w:t>2</w:t>
      </w:r>
      <w:r w:rsidR="001A10E5">
        <w:rPr>
          <w:rFonts w:ascii="Palatino Linotype" w:eastAsia="標楷體" w:hAnsi="Palatino Linotype"/>
          <w:sz w:val="28"/>
        </w:rPr>
        <w:t>1</w:t>
      </w:r>
      <w:r w:rsidRPr="00C8563A">
        <w:rPr>
          <w:rFonts w:ascii="Palatino Linotype" w:eastAsia="標楷體" w:hAnsi="Palatino Linotype"/>
          <w:sz w:val="28"/>
        </w:rPr>
        <w:t>/</w:t>
      </w:r>
      <w:r w:rsidR="00331835">
        <w:rPr>
          <w:rFonts w:ascii="Palatino Linotype" w:eastAsia="標楷體" w:hAnsi="Palatino Linotype" w:hint="eastAsia"/>
          <w:sz w:val="28"/>
        </w:rPr>
        <w:t>2</w:t>
      </w:r>
      <w:r w:rsidR="001A10E5">
        <w:rPr>
          <w:rFonts w:ascii="Palatino Linotype" w:eastAsia="標楷體" w:hAnsi="Palatino Linotype"/>
          <w:sz w:val="28"/>
        </w:rPr>
        <w:t>2</w:t>
      </w:r>
      <w:r w:rsidRPr="00C8563A">
        <w:rPr>
          <w:rFonts w:ascii="Palatino Linotype" w:eastAsia="標楷體" w:hAnsi="Palatino Linotype"/>
          <w:sz w:val="28"/>
        </w:rPr>
        <w:t>)</w:t>
      </w:r>
    </w:p>
    <w:p w:rsidR="007446B9" w:rsidRDefault="007446B9" w:rsidP="007446B9">
      <w:pPr>
        <w:widowControl/>
        <w:snapToGrid w:val="0"/>
        <w:jc w:val="center"/>
        <w:rPr>
          <w:kern w:val="0"/>
          <w:szCs w:val="24"/>
        </w:rPr>
      </w:pPr>
    </w:p>
    <w:p w:rsidR="004E1BC9" w:rsidRDefault="004E1BC9" w:rsidP="007446B9">
      <w:pPr>
        <w:widowControl/>
        <w:snapToGrid w:val="0"/>
        <w:jc w:val="center"/>
        <w:rPr>
          <w:rFonts w:hint="eastAsia"/>
          <w:kern w:val="0"/>
          <w:szCs w:val="24"/>
        </w:rPr>
      </w:pPr>
    </w:p>
    <w:p w:rsidR="004E1BC9" w:rsidRPr="00A67AE8" w:rsidRDefault="004E1BC9" w:rsidP="004E1BC9">
      <w:pPr>
        <w:snapToGrid w:val="0"/>
        <w:ind w:rightChars="59" w:right="142" w:hanging="2"/>
        <w:jc w:val="right"/>
        <w:rPr>
          <w:rFonts w:eastAsia="標楷體"/>
          <w:sz w:val="22"/>
          <w:szCs w:val="22"/>
        </w:rPr>
      </w:pPr>
      <w:r w:rsidRPr="00A67AE8">
        <w:rPr>
          <w:rFonts w:eastAsia="標楷體"/>
          <w:sz w:val="22"/>
          <w:szCs w:val="22"/>
        </w:rPr>
        <w:t>Passed by the 5th Academic Affairs Meeting, Academic Year 2020, on May 05, 2021</w:t>
      </w:r>
    </w:p>
    <w:p w:rsidR="00621131" w:rsidRPr="004E1BC9" w:rsidRDefault="00621131" w:rsidP="007446B9">
      <w:pPr>
        <w:widowControl/>
        <w:snapToGrid w:val="0"/>
        <w:jc w:val="center"/>
        <w:rPr>
          <w:kern w:val="0"/>
          <w:szCs w:val="24"/>
        </w:rPr>
      </w:pPr>
    </w:p>
    <w:p w:rsidR="007446B9" w:rsidRPr="00C8563A" w:rsidRDefault="00F57937" w:rsidP="007556BE">
      <w:pPr>
        <w:jc w:val="both"/>
        <w:rPr>
          <w:szCs w:val="24"/>
        </w:rPr>
      </w:pPr>
      <w:r w:rsidRPr="00C8563A">
        <w:rPr>
          <w:szCs w:val="24"/>
        </w:rPr>
        <w:t>A m</w:t>
      </w:r>
      <w:r w:rsidR="007446B9" w:rsidRPr="00C8563A">
        <w:rPr>
          <w:szCs w:val="24"/>
        </w:rPr>
        <w:t xml:space="preserve">inimum </w:t>
      </w:r>
      <w:r w:rsidRPr="00C8563A">
        <w:rPr>
          <w:szCs w:val="24"/>
        </w:rPr>
        <w:t>of 30 credit hours, including 6 credit hours</w:t>
      </w:r>
      <w:r w:rsidR="007446B9" w:rsidRPr="00C8563A">
        <w:rPr>
          <w:szCs w:val="24"/>
        </w:rPr>
        <w:t xml:space="preserve"> for thesis</w:t>
      </w:r>
      <w:r w:rsidRPr="00C8563A">
        <w:rPr>
          <w:szCs w:val="24"/>
        </w:rPr>
        <w:t>, are required for graduation</w:t>
      </w:r>
      <w:r w:rsidR="007446B9" w:rsidRPr="00C8563A">
        <w:rPr>
          <w:szCs w:val="24"/>
        </w:rPr>
        <w:t>. Students may select 8 courses, 24-credit hours, from the list below</w:t>
      </w:r>
      <w:r w:rsidR="00B25B6C" w:rsidRPr="00C8563A">
        <w:rPr>
          <w:rFonts w:hint="eastAsia"/>
          <w:szCs w:val="24"/>
        </w:rPr>
        <w:t>.</w:t>
      </w:r>
      <w:r w:rsidR="007446B9" w:rsidRPr="00C8563A">
        <w:rPr>
          <w:szCs w:val="24"/>
        </w:rPr>
        <w:t xml:space="preserve"> </w:t>
      </w:r>
      <w:r w:rsidR="00A215F8" w:rsidRPr="00C8563A">
        <w:rPr>
          <w:rFonts w:hint="eastAsia"/>
          <w:szCs w:val="24"/>
        </w:rPr>
        <w:t>Th</w:t>
      </w:r>
      <w:r w:rsidR="00A215F8" w:rsidRPr="00C8563A">
        <w:rPr>
          <w:szCs w:val="24"/>
        </w:rPr>
        <w:t xml:space="preserve">e </w:t>
      </w:r>
      <w:r w:rsidR="00B25B6C" w:rsidRPr="00C8563A">
        <w:rPr>
          <w:szCs w:val="24"/>
        </w:rPr>
        <w:t>student can select up to 3 graduate courses from other departments at YZU to count toward graduation course requirement</w:t>
      </w:r>
      <w:r w:rsidR="00A215F8" w:rsidRPr="00C8563A">
        <w:rPr>
          <w:rFonts w:hint="eastAsia"/>
          <w:szCs w:val="24"/>
        </w:rPr>
        <w:t>s</w:t>
      </w:r>
      <w:r w:rsidR="00B25B6C" w:rsidRPr="00C8563A">
        <w:rPr>
          <w:szCs w:val="24"/>
        </w:rPr>
        <w:t xml:space="preserve"> </w:t>
      </w:r>
      <w:r w:rsidR="00043B29" w:rsidRPr="00C8563A">
        <w:rPr>
          <w:szCs w:val="24"/>
        </w:rPr>
        <w:t xml:space="preserve">(3 of the 8) </w:t>
      </w:r>
      <w:r w:rsidR="00A215F8" w:rsidRPr="00C8563A">
        <w:rPr>
          <w:szCs w:val="24"/>
        </w:rPr>
        <w:t xml:space="preserve">with </w:t>
      </w:r>
      <w:r w:rsidR="00043B29" w:rsidRPr="00C8563A">
        <w:rPr>
          <w:szCs w:val="24"/>
        </w:rPr>
        <w:t>the</w:t>
      </w:r>
      <w:r w:rsidR="00043B29" w:rsidRPr="004B3B8D">
        <w:rPr>
          <w:szCs w:val="24"/>
        </w:rPr>
        <w:t xml:space="preserve"> </w:t>
      </w:r>
      <w:r w:rsidR="00B25B6C" w:rsidRPr="004B3B8D">
        <w:rPr>
          <w:szCs w:val="24"/>
        </w:rPr>
        <w:t>IEM approval</w:t>
      </w:r>
      <w:r w:rsidR="00B25B6C" w:rsidRPr="00C8563A">
        <w:rPr>
          <w:szCs w:val="24"/>
        </w:rPr>
        <w:t>.</w:t>
      </w:r>
      <w:r w:rsidR="007446B9" w:rsidRPr="00C8563A">
        <w:rPr>
          <w:szCs w:val="24"/>
        </w:rPr>
        <w:t xml:space="preserve"> Foreign students whose </w:t>
      </w:r>
      <w:r w:rsidRPr="00C8563A">
        <w:rPr>
          <w:szCs w:val="24"/>
        </w:rPr>
        <w:t xml:space="preserve">undergraduate </w:t>
      </w:r>
      <w:r w:rsidR="007446B9" w:rsidRPr="00C8563A">
        <w:rPr>
          <w:szCs w:val="24"/>
        </w:rPr>
        <w:t xml:space="preserve">major </w:t>
      </w:r>
      <w:r w:rsidRPr="00C8563A">
        <w:rPr>
          <w:szCs w:val="24"/>
        </w:rPr>
        <w:t>is</w:t>
      </w:r>
      <w:r w:rsidR="007446B9" w:rsidRPr="00C8563A">
        <w:rPr>
          <w:szCs w:val="24"/>
        </w:rPr>
        <w:t xml:space="preserve"> not Industrial Engineering or Industrial Management related need to tak</w:t>
      </w:r>
      <w:r w:rsidR="0086461E" w:rsidRPr="00C8563A">
        <w:rPr>
          <w:szCs w:val="24"/>
        </w:rPr>
        <w:t>e “</w:t>
      </w:r>
      <w:r w:rsidR="007446B9" w:rsidRPr="00C8563A">
        <w:rPr>
          <w:szCs w:val="24"/>
        </w:rPr>
        <w:t>IE335 Production Planning and Control</w:t>
      </w:r>
      <w:r w:rsidR="0086461E" w:rsidRPr="00C8563A">
        <w:rPr>
          <w:szCs w:val="24"/>
        </w:rPr>
        <w:t>”</w:t>
      </w:r>
      <w:r w:rsidR="0086461E" w:rsidRPr="00C8563A">
        <w:rPr>
          <w:rFonts w:hint="eastAsia"/>
          <w:szCs w:val="24"/>
        </w:rPr>
        <w:t xml:space="preserve"> </w:t>
      </w:r>
      <w:r w:rsidR="007446B9" w:rsidRPr="00C8563A">
        <w:rPr>
          <w:szCs w:val="24"/>
        </w:rPr>
        <w:t>as the extra credits.</w:t>
      </w:r>
    </w:p>
    <w:p w:rsidR="00D56CF9" w:rsidRPr="00C8563A" w:rsidRDefault="00D56CF9" w:rsidP="007556BE">
      <w:pPr>
        <w:jc w:val="both"/>
        <w:rPr>
          <w:szCs w:val="24"/>
        </w:rPr>
      </w:pPr>
    </w:p>
    <w:p w:rsidR="007B2F74" w:rsidRPr="00C8563A" w:rsidRDefault="00D56CF9" w:rsidP="007B2F74">
      <w:pPr>
        <w:spacing w:line="320" w:lineRule="exact"/>
        <w:jc w:val="both"/>
        <w:rPr>
          <w:b/>
          <w:szCs w:val="24"/>
        </w:rPr>
      </w:pPr>
      <w:r w:rsidRPr="00C8563A">
        <w:rPr>
          <w:b/>
          <w:szCs w:val="24"/>
        </w:rPr>
        <w:t xml:space="preserve">Mandatory Elective </w:t>
      </w:r>
      <w:r w:rsidR="007B2F74" w:rsidRPr="00C8563A">
        <w:rPr>
          <w:b/>
          <w:szCs w:val="24"/>
        </w:rPr>
        <w:t>– Chinese (1 academic year)</w:t>
      </w:r>
    </w:p>
    <w:p w:rsidR="007B2F74" w:rsidRPr="00C8563A" w:rsidRDefault="007B2F74" w:rsidP="007B2F74">
      <w:pPr>
        <w:spacing w:line="320" w:lineRule="exact"/>
        <w:jc w:val="both"/>
        <w:rPr>
          <w:b/>
          <w:szCs w:val="24"/>
        </w:rPr>
      </w:pPr>
      <w:r w:rsidRPr="00C8563A">
        <w:rPr>
          <w:szCs w:val="24"/>
        </w:rPr>
        <w:t>A minimum of additional 4 credit hours of Chinese courses are required for graduation.</w:t>
      </w:r>
    </w:p>
    <w:p w:rsidR="007B2F74" w:rsidRPr="00C8563A" w:rsidRDefault="007B2F74" w:rsidP="007B2F74">
      <w:pPr>
        <w:spacing w:line="320" w:lineRule="exact"/>
        <w:jc w:val="both"/>
        <w:rPr>
          <w:b/>
          <w:szCs w:val="24"/>
        </w:rPr>
      </w:pPr>
    </w:p>
    <w:p w:rsidR="007446B9" w:rsidRPr="00C8563A" w:rsidRDefault="007446B9" w:rsidP="007B2F74">
      <w:pPr>
        <w:jc w:val="both"/>
        <w:rPr>
          <w:b/>
          <w:szCs w:val="24"/>
        </w:rPr>
      </w:pPr>
      <w:r w:rsidRPr="00C8563A">
        <w:rPr>
          <w:b/>
          <w:szCs w:val="24"/>
        </w:rPr>
        <w:t>Thesis Proposal:</w:t>
      </w:r>
    </w:p>
    <w:p w:rsidR="007446B9" w:rsidRPr="00C8563A" w:rsidRDefault="007446B9" w:rsidP="007446B9">
      <w:pPr>
        <w:rPr>
          <w:szCs w:val="24"/>
        </w:rPr>
      </w:pPr>
      <w:r w:rsidRPr="00C8563A">
        <w:rPr>
          <w:szCs w:val="24"/>
        </w:rPr>
        <w:t>The graduate students should obtain the consent of a faculty member as the thesis advisor no later th</w:t>
      </w:r>
      <w:r w:rsidR="00C84FA9" w:rsidRPr="00C8563A">
        <w:rPr>
          <w:szCs w:val="24"/>
        </w:rPr>
        <w:t>a</w:t>
      </w:r>
      <w:r w:rsidRPr="00C8563A">
        <w:rPr>
          <w:szCs w:val="24"/>
        </w:rPr>
        <w:t>n the first month of the second semester</w:t>
      </w:r>
      <w:r w:rsidR="005D7288" w:rsidRPr="00C8563A">
        <w:rPr>
          <w:szCs w:val="24"/>
        </w:rPr>
        <w:t>.</w:t>
      </w:r>
    </w:p>
    <w:p w:rsidR="007446B9" w:rsidRPr="00C8563A" w:rsidRDefault="007446B9" w:rsidP="007446B9">
      <w:pPr>
        <w:rPr>
          <w:szCs w:val="24"/>
        </w:rPr>
      </w:pPr>
      <w:r w:rsidRPr="00C8563A">
        <w:rPr>
          <w:szCs w:val="24"/>
        </w:rPr>
        <w:t>The committee member for proposal should include the adviser and one faculty member in the IEM department.</w:t>
      </w:r>
    </w:p>
    <w:p w:rsidR="007446B9" w:rsidRPr="00C8563A" w:rsidRDefault="007446B9" w:rsidP="007446B9">
      <w:pPr>
        <w:rPr>
          <w:rFonts w:eastAsia="標楷體"/>
          <w:b/>
          <w:szCs w:val="24"/>
        </w:rPr>
      </w:pPr>
    </w:p>
    <w:p w:rsidR="007446B9" w:rsidRPr="00C8563A" w:rsidRDefault="007446B9" w:rsidP="007446B9">
      <w:pPr>
        <w:rPr>
          <w:rFonts w:eastAsia="標楷體"/>
          <w:b/>
          <w:szCs w:val="24"/>
        </w:rPr>
      </w:pPr>
      <w:r w:rsidRPr="00C8563A">
        <w:rPr>
          <w:b/>
          <w:szCs w:val="24"/>
        </w:rPr>
        <w:t>Thesis Defense:</w:t>
      </w:r>
    </w:p>
    <w:p w:rsidR="007446B9" w:rsidRPr="00C8563A" w:rsidRDefault="007446B9" w:rsidP="007446B9">
      <w:pPr>
        <w:rPr>
          <w:szCs w:val="24"/>
        </w:rPr>
      </w:pPr>
      <w:r w:rsidRPr="00C8563A">
        <w:rPr>
          <w:szCs w:val="24"/>
        </w:rPr>
        <w:t>The thesis final oral defense should be held no less than two months after the proposal.</w:t>
      </w:r>
    </w:p>
    <w:p w:rsidR="007446B9" w:rsidRPr="00C8563A" w:rsidRDefault="007446B9" w:rsidP="007446B9">
      <w:pPr>
        <w:rPr>
          <w:rFonts w:eastAsia="標楷體"/>
        </w:rPr>
      </w:pPr>
    </w:p>
    <w:p w:rsidR="00713BF7" w:rsidRPr="00C8563A" w:rsidRDefault="00713BF7" w:rsidP="007446B9">
      <w:pPr>
        <w:rPr>
          <w:rFonts w:eastAsia="標楷體"/>
        </w:rPr>
      </w:pPr>
    </w:p>
    <w:p w:rsidR="00F57937" w:rsidRPr="00C8563A" w:rsidRDefault="007446B9" w:rsidP="00F57937">
      <w:pPr>
        <w:widowControl/>
        <w:snapToGrid w:val="0"/>
        <w:spacing w:after="60" w:line="400" w:lineRule="exact"/>
        <w:jc w:val="center"/>
        <w:rPr>
          <w:b/>
          <w:bCs/>
          <w:kern w:val="0"/>
          <w:sz w:val="28"/>
          <w:szCs w:val="28"/>
        </w:rPr>
      </w:pPr>
      <w:r w:rsidRPr="00C8563A">
        <w:rPr>
          <w:rFonts w:eastAsia="標楷體"/>
          <w:b/>
          <w:sz w:val="28"/>
        </w:rPr>
        <w:br w:type="page"/>
      </w:r>
      <w:r w:rsidR="00F57937" w:rsidRPr="00C8563A">
        <w:rPr>
          <w:b/>
          <w:bCs/>
          <w:kern w:val="0"/>
          <w:sz w:val="28"/>
          <w:szCs w:val="28"/>
        </w:rPr>
        <w:lastRenderedPageBreak/>
        <w:t>Master Program</w:t>
      </w:r>
    </w:p>
    <w:p w:rsidR="00F57937" w:rsidRPr="00C8563A" w:rsidRDefault="00F57937" w:rsidP="00F57937">
      <w:pPr>
        <w:spacing w:line="400" w:lineRule="exact"/>
        <w:jc w:val="center"/>
        <w:rPr>
          <w:rFonts w:ascii="Palatino Linotype" w:eastAsia="標楷體" w:hAnsi="Palatino Linotype"/>
          <w:b/>
          <w:sz w:val="28"/>
        </w:rPr>
      </w:pPr>
      <w:r w:rsidRPr="00C8563A">
        <w:rPr>
          <w:rFonts w:ascii="Palatino Linotype" w:eastAsia="標楷體" w:hAnsi="Palatino Linotype"/>
          <w:b/>
          <w:sz w:val="28"/>
        </w:rPr>
        <w:t>Industrial Engineering and Management Department, Yuan Ze University</w:t>
      </w:r>
    </w:p>
    <w:p w:rsidR="007446B9" w:rsidRDefault="00F57937" w:rsidP="00F57937">
      <w:pPr>
        <w:widowControl/>
        <w:snapToGrid w:val="0"/>
        <w:spacing w:after="60"/>
        <w:jc w:val="center"/>
        <w:rPr>
          <w:rFonts w:ascii="Palatino Linotype" w:eastAsia="標楷體" w:hAnsi="Palatino Linotype"/>
          <w:sz w:val="28"/>
        </w:rPr>
      </w:pPr>
      <w:r w:rsidRPr="00C8563A">
        <w:rPr>
          <w:rFonts w:ascii="Palatino Linotype" w:eastAsia="標楷體" w:hAnsi="Palatino Linotype"/>
          <w:sz w:val="28"/>
        </w:rPr>
        <w:t xml:space="preserve">(Applicable for the students enrolled in the academic year </w:t>
      </w:r>
      <w:r w:rsidRPr="00C8563A">
        <w:rPr>
          <w:rFonts w:ascii="Palatino Linotype" w:eastAsia="標楷體" w:hAnsi="Palatino Linotype" w:hint="eastAsia"/>
          <w:sz w:val="28"/>
        </w:rPr>
        <w:t>20</w:t>
      </w:r>
      <w:r w:rsidR="003011B5">
        <w:rPr>
          <w:rFonts w:ascii="Palatino Linotype" w:eastAsia="標楷體" w:hAnsi="Palatino Linotype" w:hint="eastAsia"/>
          <w:sz w:val="28"/>
        </w:rPr>
        <w:t>2</w:t>
      </w:r>
      <w:r w:rsidR="001A10E5">
        <w:rPr>
          <w:rFonts w:ascii="Palatino Linotype" w:eastAsia="標楷體" w:hAnsi="Palatino Linotype"/>
          <w:sz w:val="28"/>
        </w:rPr>
        <w:t>1</w:t>
      </w:r>
      <w:r w:rsidRPr="00C8563A">
        <w:rPr>
          <w:rFonts w:ascii="Palatino Linotype" w:eastAsia="標楷體" w:hAnsi="Palatino Linotype"/>
          <w:sz w:val="28"/>
        </w:rPr>
        <w:t>/</w:t>
      </w:r>
      <w:r w:rsidR="003011B5">
        <w:rPr>
          <w:rFonts w:ascii="Palatino Linotype" w:eastAsia="標楷體" w:hAnsi="Palatino Linotype" w:hint="eastAsia"/>
          <w:sz w:val="28"/>
        </w:rPr>
        <w:t>2</w:t>
      </w:r>
      <w:r w:rsidR="001A10E5">
        <w:rPr>
          <w:rFonts w:ascii="Palatino Linotype" w:eastAsia="標楷體" w:hAnsi="Palatino Linotype"/>
          <w:sz w:val="28"/>
        </w:rPr>
        <w:t>2</w:t>
      </w:r>
      <w:r w:rsidRPr="00C8563A">
        <w:rPr>
          <w:rFonts w:ascii="Palatino Linotype" w:eastAsia="標楷體" w:hAnsi="Palatino Linotype"/>
          <w:sz w:val="28"/>
        </w:rPr>
        <w:t>)</w:t>
      </w:r>
    </w:p>
    <w:p w:rsidR="00C8563A" w:rsidRDefault="00C8563A" w:rsidP="00724A08">
      <w:pPr>
        <w:spacing w:line="240" w:lineRule="atLeast"/>
        <w:ind w:leftChars="2067" w:left="4961" w:rightChars="-177" w:right="-425"/>
        <w:rPr>
          <w:kern w:val="0"/>
          <w:sz w:val="20"/>
        </w:rPr>
      </w:pPr>
    </w:p>
    <w:p w:rsidR="004E1BC9" w:rsidRPr="00A67AE8" w:rsidRDefault="004E1BC9" w:rsidP="004E1BC9">
      <w:pPr>
        <w:snapToGrid w:val="0"/>
        <w:ind w:rightChars="59" w:right="142" w:hanging="2"/>
        <w:jc w:val="right"/>
        <w:rPr>
          <w:rFonts w:eastAsia="標楷體"/>
          <w:sz w:val="22"/>
          <w:szCs w:val="22"/>
        </w:rPr>
      </w:pPr>
      <w:r w:rsidRPr="00A67AE8">
        <w:rPr>
          <w:rFonts w:eastAsia="標楷體"/>
          <w:sz w:val="22"/>
          <w:szCs w:val="22"/>
        </w:rPr>
        <w:t>Passed by the 5th Academic Affairs Meeting, Academic Year 2020, on May 05, 2021</w:t>
      </w:r>
    </w:p>
    <w:p w:rsidR="004E1BC9" w:rsidRPr="004E1BC9" w:rsidRDefault="004E1BC9" w:rsidP="00724A08">
      <w:pPr>
        <w:spacing w:line="240" w:lineRule="atLeast"/>
        <w:ind w:leftChars="2067" w:left="4961" w:rightChars="-177" w:right="-425"/>
        <w:rPr>
          <w:rFonts w:hint="eastAsia"/>
          <w:kern w:val="0"/>
          <w:sz w:val="20"/>
        </w:rPr>
      </w:pPr>
      <w:bookmarkStart w:id="0" w:name="_GoBack"/>
      <w:bookmarkEnd w:id="0"/>
    </w:p>
    <w:tbl>
      <w:tblPr>
        <w:tblW w:w="782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53"/>
        <w:gridCol w:w="5767"/>
        <w:gridCol w:w="900"/>
      </w:tblGrid>
      <w:tr w:rsidR="00C8563A" w:rsidRPr="00C8563A" w:rsidTr="00774F36">
        <w:trPr>
          <w:trHeight w:val="400"/>
          <w:jc w:val="center"/>
        </w:trPr>
        <w:tc>
          <w:tcPr>
            <w:tcW w:w="1153" w:type="dxa"/>
            <w:shd w:val="clear" w:color="auto" w:fill="auto"/>
            <w:vAlign w:val="center"/>
          </w:tcPr>
          <w:p w:rsidR="007446B9" w:rsidRPr="00C8563A" w:rsidRDefault="007446B9" w:rsidP="007446B9">
            <w:pPr>
              <w:spacing w:line="300" w:lineRule="exact"/>
              <w:jc w:val="center"/>
              <w:rPr>
                <w:sz w:val="20"/>
              </w:rPr>
            </w:pPr>
            <w:r w:rsidRPr="00C8563A">
              <w:rPr>
                <w:sz w:val="20"/>
              </w:rPr>
              <w:t>Course Code</w:t>
            </w:r>
          </w:p>
        </w:tc>
        <w:tc>
          <w:tcPr>
            <w:tcW w:w="5767" w:type="dxa"/>
            <w:shd w:val="clear" w:color="auto" w:fill="auto"/>
            <w:vAlign w:val="center"/>
          </w:tcPr>
          <w:p w:rsidR="007446B9" w:rsidRPr="00C8563A" w:rsidRDefault="007446B9" w:rsidP="00736E07">
            <w:pPr>
              <w:spacing w:line="300" w:lineRule="exact"/>
              <w:jc w:val="center"/>
              <w:rPr>
                <w:sz w:val="20"/>
              </w:rPr>
            </w:pPr>
            <w:r w:rsidRPr="00C8563A">
              <w:rPr>
                <w:sz w:val="20"/>
              </w:rPr>
              <w:t>Course</w:t>
            </w:r>
            <w:r w:rsidR="00736E07" w:rsidRPr="00C8563A">
              <w:rPr>
                <w:sz w:val="20"/>
              </w:rPr>
              <w:t>s</w:t>
            </w:r>
            <w:r w:rsidRPr="00C8563A">
              <w:rPr>
                <w:sz w:val="20"/>
              </w:rPr>
              <w:t xml:space="preserve"> </w:t>
            </w:r>
            <w:r w:rsidR="00DB7548" w:rsidRPr="00C8563A">
              <w:rPr>
                <w:sz w:val="20"/>
              </w:rPr>
              <w:t>Taught in English</w:t>
            </w:r>
          </w:p>
        </w:tc>
        <w:tc>
          <w:tcPr>
            <w:tcW w:w="900" w:type="dxa"/>
            <w:shd w:val="clear" w:color="auto" w:fill="auto"/>
            <w:vAlign w:val="center"/>
          </w:tcPr>
          <w:p w:rsidR="007446B9" w:rsidRPr="00C8563A" w:rsidRDefault="007446B9" w:rsidP="007446B9">
            <w:pPr>
              <w:spacing w:line="300" w:lineRule="exact"/>
              <w:jc w:val="center"/>
              <w:rPr>
                <w:sz w:val="20"/>
              </w:rPr>
            </w:pPr>
            <w:r w:rsidRPr="00C8563A">
              <w:rPr>
                <w:sz w:val="20"/>
              </w:rPr>
              <w:t>Credits</w:t>
            </w:r>
          </w:p>
        </w:tc>
      </w:tr>
      <w:tr w:rsidR="00C8563A" w:rsidRPr="00C8563A" w:rsidTr="00774F36">
        <w:trPr>
          <w:cantSplit/>
          <w:trHeight w:val="213"/>
          <w:jc w:val="center"/>
        </w:trPr>
        <w:tc>
          <w:tcPr>
            <w:tcW w:w="1153" w:type="dxa"/>
            <w:shd w:val="clear" w:color="auto" w:fill="auto"/>
            <w:vAlign w:val="center"/>
          </w:tcPr>
          <w:p w:rsidR="00DB7548" w:rsidRPr="00C8563A" w:rsidRDefault="00DB7548" w:rsidP="008144BF">
            <w:pPr>
              <w:spacing w:before="100" w:beforeAutospacing="1"/>
              <w:jc w:val="center"/>
            </w:pPr>
            <w:r w:rsidRPr="00C8563A">
              <w:t>IE503</w:t>
            </w:r>
          </w:p>
        </w:tc>
        <w:tc>
          <w:tcPr>
            <w:tcW w:w="5767" w:type="dxa"/>
            <w:shd w:val="clear" w:color="auto" w:fill="auto"/>
            <w:vAlign w:val="center"/>
          </w:tcPr>
          <w:p w:rsidR="00DB7548" w:rsidRPr="00C8563A" w:rsidRDefault="00DB7548" w:rsidP="008144BF">
            <w:pPr>
              <w:spacing w:before="100" w:beforeAutospacing="1"/>
            </w:pPr>
            <w:r w:rsidRPr="00C8563A">
              <w:t>Simulation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18"/>
          <w:jc w:val="center"/>
        </w:trPr>
        <w:tc>
          <w:tcPr>
            <w:tcW w:w="1153" w:type="dxa"/>
            <w:shd w:val="clear" w:color="auto" w:fill="auto"/>
            <w:vAlign w:val="center"/>
          </w:tcPr>
          <w:p w:rsidR="00DB7548" w:rsidRPr="00C8563A" w:rsidRDefault="00DB7548" w:rsidP="008144BF">
            <w:pPr>
              <w:spacing w:before="100" w:beforeAutospacing="1"/>
              <w:jc w:val="center"/>
            </w:pPr>
            <w:r w:rsidRPr="00C8563A">
              <w:t>IE505</w:t>
            </w:r>
          </w:p>
        </w:tc>
        <w:tc>
          <w:tcPr>
            <w:tcW w:w="5767" w:type="dxa"/>
            <w:shd w:val="clear" w:color="auto" w:fill="auto"/>
            <w:vAlign w:val="center"/>
          </w:tcPr>
          <w:p w:rsidR="00DB7548" w:rsidRPr="00C8563A" w:rsidRDefault="00DB7548" w:rsidP="008144BF">
            <w:pPr>
              <w:spacing w:before="100" w:beforeAutospacing="1"/>
            </w:pPr>
            <w:r w:rsidRPr="00C8563A">
              <w:t>Stochastic Processes</w:t>
            </w:r>
            <w:r w:rsidR="00D461CB" w:rsidRPr="00C8563A">
              <w:t xml:space="preserve"> </w:t>
            </w:r>
            <w:r w:rsidRPr="00C8563A">
              <w:t>(I)</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94"/>
          <w:jc w:val="center"/>
        </w:trPr>
        <w:tc>
          <w:tcPr>
            <w:tcW w:w="1153" w:type="dxa"/>
            <w:shd w:val="clear" w:color="auto" w:fill="auto"/>
            <w:vAlign w:val="center"/>
          </w:tcPr>
          <w:p w:rsidR="00DB7548" w:rsidRPr="00C8563A" w:rsidRDefault="00DB7548" w:rsidP="008144BF">
            <w:pPr>
              <w:spacing w:before="100" w:beforeAutospacing="1"/>
              <w:jc w:val="center"/>
            </w:pPr>
            <w:r w:rsidRPr="00C8563A">
              <w:t>IE507</w:t>
            </w:r>
          </w:p>
        </w:tc>
        <w:tc>
          <w:tcPr>
            <w:tcW w:w="5767" w:type="dxa"/>
            <w:shd w:val="clear" w:color="auto" w:fill="auto"/>
            <w:vAlign w:val="center"/>
          </w:tcPr>
          <w:p w:rsidR="00DB7548" w:rsidRPr="00C8563A" w:rsidRDefault="00DB7548" w:rsidP="008144BF">
            <w:pPr>
              <w:spacing w:before="100" w:beforeAutospacing="1"/>
            </w:pPr>
            <w:r w:rsidRPr="00C8563A">
              <w:t>Mathematical Programming</w:t>
            </w:r>
            <w:r w:rsidR="00D461CB" w:rsidRPr="00C8563A">
              <w:t xml:space="preserve"> </w:t>
            </w:r>
            <w:r w:rsidRPr="00C8563A">
              <w:t>(I)</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97"/>
          <w:jc w:val="center"/>
        </w:trPr>
        <w:tc>
          <w:tcPr>
            <w:tcW w:w="1153" w:type="dxa"/>
            <w:shd w:val="clear" w:color="auto" w:fill="auto"/>
            <w:vAlign w:val="center"/>
          </w:tcPr>
          <w:p w:rsidR="00DB7548" w:rsidRPr="00C8563A" w:rsidRDefault="00DB7548" w:rsidP="008144BF">
            <w:pPr>
              <w:spacing w:before="100" w:beforeAutospacing="1"/>
              <w:jc w:val="center"/>
            </w:pPr>
            <w:r w:rsidRPr="00C8563A">
              <w:t>IE517</w:t>
            </w:r>
          </w:p>
        </w:tc>
        <w:tc>
          <w:tcPr>
            <w:tcW w:w="5767" w:type="dxa"/>
            <w:shd w:val="clear" w:color="auto" w:fill="auto"/>
            <w:vAlign w:val="center"/>
          </w:tcPr>
          <w:p w:rsidR="00DB7548" w:rsidRPr="00C8563A" w:rsidRDefault="00DB7548" w:rsidP="008144BF">
            <w:pPr>
              <w:spacing w:before="100" w:beforeAutospacing="1"/>
            </w:pPr>
            <w:r w:rsidRPr="00C8563A">
              <w:t>Inventory Systems and Control</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44"/>
          <w:jc w:val="center"/>
        </w:trPr>
        <w:tc>
          <w:tcPr>
            <w:tcW w:w="1153" w:type="dxa"/>
            <w:shd w:val="clear" w:color="auto" w:fill="auto"/>
            <w:vAlign w:val="center"/>
          </w:tcPr>
          <w:p w:rsidR="00DB7548" w:rsidRPr="00C8563A" w:rsidRDefault="00DB7548" w:rsidP="008144BF">
            <w:pPr>
              <w:spacing w:before="100" w:beforeAutospacing="1"/>
              <w:jc w:val="center"/>
            </w:pPr>
            <w:r w:rsidRPr="00C8563A">
              <w:t>IE533</w:t>
            </w:r>
          </w:p>
        </w:tc>
        <w:tc>
          <w:tcPr>
            <w:tcW w:w="5767" w:type="dxa"/>
            <w:shd w:val="clear" w:color="auto" w:fill="auto"/>
            <w:vAlign w:val="center"/>
          </w:tcPr>
          <w:p w:rsidR="00DB7548" w:rsidRPr="00C8563A" w:rsidRDefault="00DB7548" w:rsidP="008144BF">
            <w:pPr>
              <w:spacing w:before="100" w:beforeAutospacing="1"/>
            </w:pPr>
            <w:r w:rsidRPr="00C8563A">
              <w:t>Probabilistic Analysis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10"/>
          <w:jc w:val="center"/>
        </w:trPr>
        <w:tc>
          <w:tcPr>
            <w:tcW w:w="1153" w:type="dxa"/>
            <w:shd w:val="clear" w:color="auto" w:fill="auto"/>
            <w:vAlign w:val="center"/>
          </w:tcPr>
          <w:p w:rsidR="00DB7548" w:rsidRPr="00C8563A" w:rsidRDefault="00DB7548" w:rsidP="008144BF">
            <w:pPr>
              <w:spacing w:before="100" w:beforeAutospacing="1"/>
              <w:jc w:val="center"/>
            </w:pPr>
            <w:r w:rsidRPr="00C8563A">
              <w:t>IE538</w:t>
            </w:r>
          </w:p>
        </w:tc>
        <w:tc>
          <w:tcPr>
            <w:tcW w:w="5767" w:type="dxa"/>
            <w:shd w:val="clear" w:color="auto" w:fill="auto"/>
            <w:vAlign w:val="center"/>
          </w:tcPr>
          <w:p w:rsidR="00DB7548" w:rsidRPr="00C8563A" w:rsidRDefault="00DB7548" w:rsidP="008144BF">
            <w:pPr>
              <w:spacing w:before="100" w:beforeAutospacing="1"/>
            </w:pPr>
            <w:r w:rsidRPr="00C8563A">
              <w:t>Experimental Design and Applications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88"/>
          <w:jc w:val="center"/>
        </w:trPr>
        <w:tc>
          <w:tcPr>
            <w:tcW w:w="1153" w:type="dxa"/>
            <w:shd w:val="clear" w:color="auto" w:fill="auto"/>
            <w:vAlign w:val="center"/>
          </w:tcPr>
          <w:p w:rsidR="00DB7548" w:rsidRPr="00C8563A" w:rsidRDefault="00DB7548" w:rsidP="008144BF">
            <w:pPr>
              <w:spacing w:before="100" w:beforeAutospacing="1"/>
              <w:jc w:val="center"/>
            </w:pPr>
            <w:r w:rsidRPr="00C8563A">
              <w:t>IE555</w:t>
            </w:r>
          </w:p>
        </w:tc>
        <w:tc>
          <w:tcPr>
            <w:tcW w:w="5767" w:type="dxa"/>
            <w:shd w:val="clear" w:color="auto" w:fill="auto"/>
            <w:vAlign w:val="center"/>
          </w:tcPr>
          <w:p w:rsidR="00DB7548" w:rsidRPr="00C8563A" w:rsidRDefault="00DB7548" w:rsidP="008144BF">
            <w:pPr>
              <w:spacing w:before="100" w:beforeAutospacing="1"/>
            </w:pPr>
            <w:r w:rsidRPr="00C8563A">
              <w:t>Group Decision Making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3"/>
          <w:jc w:val="center"/>
        </w:trPr>
        <w:tc>
          <w:tcPr>
            <w:tcW w:w="1153" w:type="dxa"/>
            <w:shd w:val="clear" w:color="auto" w:fill="auto"/>
            <w:vAlign w:val="center"/>
          </w:tcPr>
          <w:p w:rsidR="00DB7548" w:rsidRPr="00C8563A" w:rsidRDefault="00DB7548" w:rsidP="008144BF">
            <w:pPr>
              <w:spacing w:before="100" w:beforeAutospacing="1"/>
              <w:jc w:val="center"/>
            </w:pPr>
            <w:r w:rsidRPr="00C8563A">
              <w:t>IE561</w:t>
            </w:r>
          </w:p>
        </w:tc>
        <w:tc>
          <w:tcPr>
            <w:tcW w:w="5767" w:type="dxa"/>
            <w:shd w:val="clear" w:color="auto" w:fill="auto"/>
            <w:vAlign w:val="center"/>
          </w:tcPr>
          <w:p w:rsidR="00DB7548" w:rsidRPr="00C8563A" w:rsidRDefault="00DB7548" w:rsidP="008144BF">
            <w:pPr>
              <w:spacing w:before="100" w:beforeAutospacing="1"/>
            </w:pPr>
            <w:r w:rsidRPr="00C8563A">
              <w:t>Statistical Methods and Data Analysis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46"/>
          <w:jc w:val="center"/>
        </w:trPr>
        <w:tc>
          <w:tcPr>
            <w:tcW w:w="1153" w:type="dxa"/>
            <w:shd w:val="clear" w:color="auto" w:fill="auto"/>
            <w:vAlign w:val="center"/>
          </w:tcPr>
          <w:p w:rsidR="00DB7548" w:rsidRPr="00C8563A" w:rsidRDefault="00DB7548" w:rsidP="008144BF">
            <w:pPr>
              <w:spacing w:before="100" w:beforeAutospacing="1"/>
              <w:jc w:val="center"/>
            </w:pPr>
            <w:r w:rsidRPr="00C8563A">
              <w:t>IE562</w:t>
            </w:r>
          </w:p>
        </w:tc>
        <w:tc>
          <w:tcPr>
            <w:tcW w:w="5767" w:type="dxa"/>
            <w:shd w:val="clear" w:color="auto" w:fill="auto"/>
            <w:vAlign w:val="center"/>
          </w:tcPr>
          <w:p w:rsidR="00DB7548" w:rsidRPr="00C8563A" w:rsidRDefault="00DB7548" w:rsidP="008144BF">
            <w:pPr>
              <w:spacing w:before="100" w:beforeAutospacing="1"/>
            </w:pPr>
            <w:r w:rsidRPr="00C8563A">
              <w:t>3D Visual Simulation and Virtual Reality</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98"/>
          <w:jc w:val="center"/>
        </w:trPr>
        <w:tc>
          <w:tcPr>
            <w:tcW w:w="1153" w:type="dxa"/>
            <w:shd w:val="clear" w:color="auto" w:fill="auto"/>
            <w:vAlign w:val="center"/>
          </w:tcPr>
          <w:p w:rsidR="00DB7548" w:rsidRPr="00C8563A" w:rsidRDefault="00DB7548" w:rsidP="008144BF">
            <w:pPr>
              <w:spacing w:before="100" w:beforeAutospacing="1"/>
              <w:jc w:val="center"/>
            </w:pPr>
            <w:r w:rsidRPr="00C8563A">
              <w:t>IE576</w:t>
            </w:r>
          </w:p>
        </w:tc>
        <w:tc>
          <w:tcPr>
            <w:tcW w:w="5767" w:type="dxa"/>
            <w:shd w:val="clear" w:color="auto" w:fill="auto"/>
            <w:vAlign w:val="center"/>
          </w:tcPr>
          <w:p w:rsidR="00DB7548" w:rsidRPr="00C8563A" w:rsidRDefault="00DB7548" w:rsidP="008144BF">
            <w:pPr>
              <w:spacing w:before="100" w:beforeAutospacing="1"/>
            </w:pPr>
            <w:r w:rsidRPr="00C8563A">
              <w:t>Global Logistics Management</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00"/>
          <w:jc w:val="center"/>
        </w:trPr>
        <w:tc>
          <w:tcPr>
            <w:tcW w:w="1153" w:type="dxa"/>
            <w:shd w:val="clear" w:color="auto" w:fill="auto"/>
            <w:vAlign w:val="center"/>
          </w:tcPr>
          <w:p w:rsidR="00DB7548" w:rsidRPr="00C8563A" w:rsidRDefault="00DB7548" w:rsidP="008144BF">
            <w:pPr>
              <w:spacing w:before="100" w:beforeAutospacing="1"/>
              <w:jc w:val="center"/>
            </w:pPr>
            <w:r w:rsidRPr="00C8563A">
              <w:t>IE579</w:t>
            </w:r>
          </w:p>
        </w:tc>
        <w:tc>
          <w:tcPr>
            <w:tcW w:w="5767" w:type="dxa"/>
            <w:shd w:val="clear" w:color="auto" w:fill="auto"/>
            <w:vAlign w:val="center"/>
          </w:tcPr>
          <w:p w:rsidR="00DB7548" w:rsidRPr="00C8563A" w:rsidRDefault="00DB7548" w:rsidP="008144BF">
            <w:pPr>
              <w:spacing w:before="100" w:beforeAutospacing="1"/>
            </w:pPr>
            <w:r w:rsidRPr="00C8563A">
              <w:t>Transportation Management</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65"/>
          <w:jc w:val="center"/>
        </w:trPr>
        <w:tc>
          <w:tcPr>
            <w:tcW w:w="1153" w:type="dxa"/>
            <w:shd w:val="clear" w:color="auto" w:fill="auto"/>
            <w:vAlign w:val="center"/>
          </w:tcPr>
          <w:p w:rsidR="00DB7548" w:rsidRPr="00C8563A" w:rsidRDefault="00DB7548" w:rsidP="008144BF">
            <w:pPr>
              <w:spacing w:before="100" w:beforeAutospacing="1"/>
              <w:jc w:val="center"/>
            </w:pPr>
            <w:r w:rsidRPr="00C8563A">
              <w:t>IE581</w:t>
            </w:r>
          </w:p>
        </w:tc>
        <w:tc>
          <w:tcPr>
            <w:tcW w:w="5767" w:type="dxa"/>
            <w:shd w:val="clear" w:color="auto" w:fill="auto"/>
            <w:vAlign w:val="center"/>
          </w:tcPr>
          <w:p w:rsidR="00DB7548" w:rsidRPr="00C8563A" w:rsidRDefault="00DB7548" w:rsidP="008144BF">
            <w:pPr>
              <w:spacing w:before="100" w:beforeAutospacing="1"/>
            </w:pPr>
            <w:r w:rsidRPr="00C8563A">
              <w:t>Service System Design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52"/>
          <w:jc w:val="center"/>
        </w:trPr>
        <w:tc>
          <w:tcPr>
            <w:tcW w:w="1153" w:type="dxa"/>
            <w:shd w:val="clear" w:color="auto" w:fill="auto"/>
            <w:vAlign w:val="center"/>
          </w:tcPr>
          <w:p w:rsidR="00DB7548" w:rsidRPr="00C8563A" w:rsidRDefault="00DB7548" w:rsidP="008144BF">
            <w:pPr>
              <w:spacing w:before="100" w:beforeAutospacing="1"/>
              <w:jc w:val="center"/>
            </w:pPr>
            <w:r w:rsidRPr="00C8563A">
              <w:t>IE590</w:t>
            </w:r>
          </w:p>
        </w:tc>
        <w:tc>
          <w:tcPr>
            <w:tcW w:w="5767" w:type="dxa"/>
            <w:shd w:val="clear" w:color="auto" w:fill="auto"/>
            <w:vAlign w:val="center"/>
          </w:tcPr>
          <w:p w:rsidR="00DB7548" w:rsidRPr="00C8563A" w:rsidRDefault="00DB7548" w:rsidP="008144BF">
            <w:pPr>
              <w:spacing w:before="100" w:beforeAutospacing="1"/>
            </w:pPr>
            <w:r w:rsidRPr="00C8563A">
              <w:t>Machine Vision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47"/>
          <w:jc w:val="center"/>
        </w:trPr>
        <w:tc>
          <w:tcPr>
            <w:tcW w:w="1153" w:type="dxa"/>
            <w:shd w:val="clear" w:color="auto" w:fill="auto"/>
            <w:vAlign w:val="center"/>
          </w:tcPr>
          <w:p w:rsidR="00DB7548" w:rsidRPr="00C8563A" w:rsidRDefault="00DB7548" w:rsidP="008144BF">
            <w:pPr>
              <w:spacing w:before="100" w:beforeAutospacing="1"/>
              <w:jc w:val="center"/>
            </w:pPr>
            <w:r w:rsidRPr="00C8563A">
              <w:t>IE599</w:t>
            </w:r>
          </w:p>
        </w:tc>
        <w:tc>
          <w:tcPr>
            <w:tcW w:w="5767" w:type="dxa"/>
            <w:shd w:val="clear" w:color="auto" w:fill="auto"/>
            <w:vAlign w:val="center"/>
          </w:tcPr>
          <w:p w:rsidR="00DB7548" w:rsidRPr="00C8563A" w:rsidRDefault="00DB7548" w:rsidP="008144BF">
            <w:pPr>
              <w:spacing w:before="100" w:beforeAutospacing="1"/>
            </w:pPr>
            <w:r w:rsidRPr="00C8563A">
              <w:t>Data Mining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34"/>
          <w:jc w:val="center"/>
        </w:trPr>
        <w:tc>
          <w:tcPr>
            <w:tcW w:w="1153" w:type="dxa"/>
            <w:shd w:val="clear" w:color="auto" w:fill="auto"/>
            <w:vAlign w:val="center"/>
          </w:tcPr>
          <w:p w:rsidR="00DB7548" w:rsidRPr="00C8563A" w:rsidRDefault="00DB7548" w:rsidP="008144BF">
            <w:pPr>
              <w:spacing w:before="100" w:beforeAutospacing="1"/>
              <w:jc w:val="center"/>
            </w:pPr>
            <w:r w:rsidRPr="00C8563A">
              <w:t>IE602</w:t>
            </w:r>
          </w:p>
        </w:tc>
        <w:tc>
          <w:tcPr>
            <w:tcW w:w="5767" w:type="dxa"/>
            <w:shd w:val="clear" w:color="auto" w:fill="auto"/>
            <w:vAlign w:val="center"/>
          </w:tcPr>
          <w:p w:rsidR="00DB7548" w:rsidRPr="00C8563A" w:rsidRDefault="00DB7548" w:rsidP="008144BF">
            <w:pPr>
              <w:spacing w:before="100" w:beforeAutospacing="1"/>
            </w:pPr>
            <w:r w:rsidRPr="00C8563A">
              <w:t>The Operational Models of E-Enterprise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IE604</w:t>
            </w:r>
          </w:p>
        </w:tc>
        <w:tc>
          <w:tcPr>
            <w:tcW w:w="5767" w:type="dxa"/>
            <w:shd w:val="clear" w:color="auto" w:fill="auto"/>
            <w:vAlign w:val="center"/>
          </w:tcPr>
          <w:p w:rsidR="00DB7548" w:rsidRPr="00C8563A" w:rsidRDefault="00DB7548" w:rsidP="008144BF">
            <w:pPr>
              <w:spacing w:before="100" w:beforeAutospacing="1"/>
            </w:pPr>
            <w:r w:rsidRPr="00C8563A">
              <w:t>Enterprise Resources Planning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IE607</w:t>
            </w:r>
          </w:p>
        </w:tc>
        <w:tc>
          <w:tcPr>
            <w:tcW w:w="5767" w:type="dxa"/>
            <w:shd w:val="clear" w:color="auto" w:fill="auto"/>
            <w:vAlign w:val="center"/>
          </w:tcPr>
          <w:p w:rsidR="00DB7548" w:rsidRPr="00C8563A" w:rsidRDefault="00DB7548" w:rsidP="008144BF">
            <w:pPr>
              <w:spacing w:before="100" w:beforeAutospacing="1"/>
            </w:pPr>
            <w:r w:rsidRPr="00C8563A">
              <w:t>Heuristic Optimization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IE609</w:t>
            </w:r>
          </w:p>
        </w:tc>
        <w:tc>
          <w:tcPr>
            <w:tcW w:w="5767" w:type="dxa"/>
            <w:shd w:val="clear" w:color="auto" w:fill="auto"/>
            <w:vAlign w:val="center"/>
          </w:tcPr>
          <w:p w:rsidR="00DB7548" w:rsidRPr="00C8563A" w:rsidRDefault="00DB7548" w:rsidP="008144BF">
            <w:pPr>
              <w:spacing w:before="100" w:beforeAutospacing="1"/>
            </w:pPr>
            <w:r w:rsidRPr="00C8563A">
              <w:t>The Management of Enterprise Digitization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IE610</w:t>
            </w:r>
          </w:p>
        </w:tc>
        <w:tc>
          <w:tcPr>
            <w:tcW w:w="5767" w:type="dxa"/>
            <w:shd w:val="clear" w:color="auto" w:fill="auto"/>
            <w:vAlign w:val="center"/>
          </w:tcPr>
          <w:p w:rsidR="00DB7548" w:rsidRPr="00C8563A" w:rsidRDefault="00DB7548" w:rsidP="008144BF">
            <w:pPr>
              <w:spacing w:before="100" w:beforeAutospacing="1"/>
            </w:pPr>
            <w:r w:rsidRPr="00C8563A">
              <w:t>Mobile Commerce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IE614</w:t>
            </w:r>
          </w:p>
        </w:tc>
        <w:tc>
          <w:tcPr>
            <w:tcW w:w="5767" w:type="dxa"/>
            <w:shd w:val="clear" w:color="auto" w:fill="auto"/>
            <w:vAlign w:val="center"/>
          </w:tcPr>
          <w:p w:rsidR="00DB7548" w:rsidRPr="00C8563A" w:rsidRDefault="00DB7548" w:rsidP="008144BF">
            <w:pPr>
              <w:spacing w:before="100" w:beforeAutospacing="1"/>
            </w:pPr>
            <w:r w:rsidRPr="00C8563A">
              <w:t>Data Pattern Recognition and Classification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IE619</w:t>
            </w:r>
          </w:p>
        </w:tc>
        <w:tc>
          <w:tcPr>
            <w:tcW w:w="5767" w:type="dxa"/>
            <w:shd w:val="clear" w:color="auto" w:fill="auto"/>
            <w:vAlign w:val="center"/>
          </w:tcPr>
          <w:p w:rsidR="00DB7548" w:rsidRPr="00C8563A" w:rsidRDefault="00DB7548" w:rsidP="008144BF">
            <w:pPr>
              <w:spacing w:before="100" w:beforeAutospacing="1"/>
            </w:pPr>
            <w:r w:rsidRPr="00C8563A">
              <w:t>Design and Construction of Virtual Reality Systems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IE622</w:t>
            </w:r>
          </w:p>
        </w:tc>
        <w:tc>
          <w:tcPr>
            <w:tcW w:w="5767" w:type="dxa"/>
            <w:shd w:val="clear" w:color="auto" w:fill="auto"/>
            <w:vAlign w:val="center"/>
          </w:tcPr>
          <w:p w:rsidR="00DB7548" w:rsidRPr="00C8563A" w:rsidRDefault="00DB7548" w:rsidP="008144BF">
            <w:pPr>
              <w:spacing w:before="100" w:beforeAutospacing="1"/>
            </w:pPr>
            <w:r w:rsidRPr="00C8563A">
              <w:t>Managing for Business Excellence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IE624</w:t>
            </w:r>
          </w:p>
        </w:tc>
        <w:tc>
          <w:tcPr>
            <w:tcW w:w="5767" w:type="dxa"/>
            <w:shd w:val="clear" w:color="auto" w:fill="auto"/>
            <w:vAlign w:val="center"/>
          </w:tcPr>
          <w:p w:rsidR="00DB7548" w:rsidRPr="00C8563A" w:rsidRDefault="00DB7548" w:rsidP="008144BF">
            <w:pPr>
              <w:spacing w:before="100" w:beforeAutospacing="1"/>
            </w:pPr>
            <w:r w:rsidRPr="00C8563A">
              <w:t>Usability Engineering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2A46A5" w:rsidRPr="00C8563A" w:rsidRDefault="002A46A5" w:rsidP="008144BF">
            <w:pPr>
              <w:spacing w:before="100" w:beforeAutospacing="1"/>
              <w:jc w:val="center"/>
            </w:pPr>
            <w:r w:rsidRPr="00C8563A">
              <w:rPr>
                <w:rFonts w:hint="eastAsia"/>
              </w:rPr>
              <w:t>IE625</w:t>
            </w:r>
          </w:p>
        </w:tc>
        <w:tc>
          <w:tcPr>
            <w:tcW w:w="5767" w:type="dxa"/>
            <w:shd w:val="clear" w:color="auto" w:fill="auto"/>
            <w:vAlign w:val="center"/>
          </w:tcPr>
          <w:p w:rsidR="002A46A5" w:rsidRPr="00C8563A" w:rsidRDefault="002A46A5" w:rsidP="008144BF">
            <w:pPr>
              <w:spacing w:before="100" w:beforeAutospacing="1"/>
              <w:rPr>
                <w:szCs w:val="24"/>
              </w:rPr>
            </w:pPr>
            <w:r w:rsidRPr="00C8563A">
              <w:rPr>
                <w:rFonts w:eastAsia="標楷體"/>
                <w:szCs w:val="24"/>
              </w:rPr>
              <w:t xml:space="preserve">Big </w:t>
            </w:r>
            <w:r w:rsidRPr="00C8563A">
              <w:rPr>
                <w:rFonts w:eastAsia="標楷體" w:hint="eastAsia"/>
                <w:szCs w:val="24"/>
              </w:rPr>
              <w:t>D</w:t>
            </w:r>
            <w:r w:rsidRPr="00C8563A">
              <w:rPr>
                <w:rFonts w:eastAsia="標楷體"/>
                <w:szCs w:val="24"/>
              </w:rPr>
              <w:t xml:space="preserve">ata </w:t>
            </w:r>
            <w:r w:rsidRPr="00C8563A">
              <w:rPr>
                <w:rFonts w:eastAsia="標楷體" w:hint="eastAsia"/>
                <w:szCs w:val="24"/>
              </w:rPr>
              <w:t>A</w:t>
            </w:r>
            <w:r w:rsidRPr="00C8563A">
              <w:rPr>
                <w:rFonts w:eastAsia="標楷體"/>
                <w:szCs w:val="24"/>
              </w:rPr>
              <w:t>nalytics</w:t>
            </w:r>
          </w:p>
        </w:tc>
        <w:tc>
          <w:tcPr>
            <w:tcW w:w="900" w:type="dxa"/>
            <w:shd w:val="clear" w:color="auto" w:fill="auto"/>
            <w:vAlign w:val="center"/>
          </w:tcPr>
          <w:p w:rsidR="002A46A5" w:rsidRPr="00C8563A" w:rsidRDefault="002A46A5" w:rsidP="007446B9">
            <w:pPr>
              <w:spacing w:line="300" w:lineRule="exact"/>
              <w:jc w:val="center"/>
              <w:rPr>
                <w:sz w:val="20"/>
              </w:rPr>
            </w:pPr>
            <w:r w:rsidRPr="00C8563A">
              <w:rPr>
                <w:rFonts w:hint="eastAsia"/>
                <w:sz w:val="20"/>
              </w:rPr>
              <w:t>3</w:t>
            </w:r>
          </w:p>
        </w:tc>
      </w:tr>
    </w:tbl>
    <w:p w:rsidR="00C84FA9" w:rsidRPr="00C8563A" w:rsidRDefault="00C84FA9" w:rsidP="00C84FA9">
      <w:r w:rsidRPr="00C8563A">
        <w:t xml:space="preserve">Note: </w:t>
      </w:r>
    </w:p>
    <w:p w:rsidR="00C84FA9" w:rsidRPr="00C8563A" w:rsidRDefault="00C84FA9" w:rsidP="00C84FA9">
      <w:pPr>
        <w:numPr>
          <w:ilvl w:val="0"/>
          <w:numId w:val="2"/>
        </w:numPr>
      </w:pPr>
      <w:r w:rsidRPr="00C8563A">
        <w:t>Other courses taught in Chinese are available at your own discretion (list available on YZU website). You may discuss with the professor for possible lecturing in English which must be based on his/her final decision.</w:t>
      </w:r>
    </w:p>
    <w:p w:rsidR="00C84FA9" w:rsidRPr="00C8563A" w:rsidRDefault="00C84FA9" w:rsidP="00C84FA9">
      <w:pPr>
        <w:numPr>
          <w:ilvl w:val="0"/>
          <w:numId w:val="2"/>
        </w:numPr>
      </w:pPr>
      <w:r w:rsidRPr="00C8563A">
        <w:t>You are responsible to plan ahead base on courses’ availability at different semesters and their corresponding prerequisites.</w:t>
      </w:r>
    </w:p>
    <w:p w:rsidR="00C84FA9" w:rsidRPr="00C8563A" w:rsidRDefault="00C84FA9" w:rsidP="00C84FA9">
      <w:pPr>
        <w:numPr>
          <w:ilvl w:val="0"/>
          <w:numId w:val="2"/>
        </w:numPr>
      </w:pPr>
      <w:r w:rsidRPr="00C8563A">
        <w:t>Courses listed above are generally offered in the span of 2 years, and subject to change without further notice.</w:t>
      </w:r>
    </w:p>
    <w:p w:rsidR="00E46C6D" w:rsidRPr="00C8563A" w:rsidRDefault="0024471C" w:rsidP="0024471C">
      <w:pPr>
        <w:numPr>
          <w:ilvl w:val="0"/>
          <w:numId w:val="2"/>
        </w:numPr>
        <w:rPr>
          <w:szCs w:val="24"/>
        </w:rPr>
      </w:pPr>
      <w:r w:rsidRPr="00C8563A">
        <w:t xml:space="preserve">For those graduate students who shall complete </w:t>
      </w:r>
      <w:r w:rsidRPr="00C8563A">
        <w:rPr>
          <w:b/>
          <w:bCs/>
        </w:rPr>
        <w:t>Academic Research Ethics Education Course</w:t>
      </w:r>
      <w:r w:rsidRPr="00C8563A">
        <w:t xml:space="preserv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sectPr w:rsidR="00E46C6D" w:rsidRPr="00C8563A" w:rsidSect="00F57937">
      <w:pgSz w:w="11906" w:h="16838"/>
      <w:pgMar w:top="567" w:right="849" w:bottom="35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7BA" w:rsidRDefault="00A007BA" w:rsidP="0043132B">
      <w:r>
        <w:separator/>
      </w:r>
    </w:p>
  </w:endnote>
  <w:endnote w:type="continuationSeparator" w:id="0">
    <w:p w:rsidR="00A007BA" w:rsidRDefault="00A007BA" w:rsidP="0043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7BA" w:rsidRDefault="00A007BA" w:rsidP="0043132B">
      <w:r>
        <w:separator/>
      </w:r>
    </w:p>
  </w:footnote>
  <w:footnote w:type="continuationSeparator" w:id="0">
    <w:p w:rsidR="00A007BA" w:rsidRDefault="00A007BA" w:rsidP="00431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E4E"/>
    <w:multiLevelType w:val="hybridMultilevel"/>
    <w:tmpl w:val="59380BAE"/>
    <w:lvl w:ilvl="0" w:tplc="5734E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8D3FB1"/>
    <w:multiLevelType w:val="hybridMultilevel"/>
    <w:tmpl w:val="843A301E"/>
    <w:lvl w:ilvl="0" w:tplc="9A44A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B9"/>
    <w:rsid w:val="00007C27"/>
    <w:rsid w:val="00011B17"/>
    <w:rsid w:val="00043B29"/>
    <w:rsid w:val="000443A0"/>
    <w:rsid w:val="00050628"/>
    <w:rsid w:val="000531F1"/>
    <w:rsid w:val="00061C14"/>
    <w:rsid w:val="00082EBE"/>
    <w:rsid w:val="00095CDA"/>
    <w:rsid w:val="000A2BA6"/>
    <w:rsid w:val="000A6DC4"/>
    <w:rsid w:val="000A7555"/>
    <w:rsid w:val="000B3221"/>
    <w:rsid w:val="000E0D81"/>
    <w:rsid w:val="000F10FB"/>
    <w:rsid w:val="00103F98"/>
    <w:rsid w:val="0012391C"/>
    <w:rsid w:val="001324A3"/>
    <w:rsid w:val="00133098"/>
    <w:rsid w:val="001551F0"/>
    <w:rsid w:val="0016280C"/>
    <w:rsid w:val="001662B1"/>
    <w:rsid w:val="00190123"/>
    <w:rsid w:val="00190E00"/>
    <w:rsid w:val="001A02AB"/>
    <w:rsid w:val="001A10E5"/>
    <w:rsid w:val="001C50B9"/>
    <w:rsid w:val="001C5C66"/>
    <w:rsid w:val="001C63B7"/>
    <w:rsid w:val="001D64B2"/>
    <w:rsid w:val="001E1172"/>
    <w:rsid w:val="001F4598"/>
    <w:rsid w:val="00216FC2"/>
    <w:rsid w:val="0024471C"/>
    <w:rsid w:val="0024622E"/>
    <w:rsid w:val="00255F3E"/>
    <w:rsid w:val="00290F80"/>
    <w:rsid w:val="002A46A5"/>
    <w:rsid w:val="002C57BD"/>
    <w:rsid w:val="002C64CF"/>
    <w:rsid w:val="002D0C32"/>
    <w:rsid w:val="002D141D"/>
    <w:rsid w:val="002E185A"/>
    <w:rsid w:val="002E32DE"/>
    <w:rsid w:val="002E44CC"/>
    <w:rsid w:val="002F3B7D"/>
    <w:rsid w:val="002F51C1"/>
    <w:rsid w:val="002F67E5"/>
    <w:rsid w:val="003011B5"/>
    <w:rsid w:val="00306F41"/>
    <w:rsid w:val="00331835"/>
    <w:rsid w:val="003319F3"/>
    <w:rsid w:val="00331F01"/>
    <w:rsid w:val="00340E83"/>
    <w:rsid w:val="00342797"/>
    <w:rsid w:val="0036728E"/>
    <w:rsid w:val="00372F4F"/>
    <w:rsid w:val="003C5A08"/>
    <w:rsid w:val="003E7616"/>
    <w:rsid w:val="003F57B1"/>
    <w:rsid w:val="003F6863"/>
    <w:rsid w:val="00403A8F"/>
    <w:rsid w:val="00412DE6"/>
    <w:rsid w:val="0043132B"/>
    <w:rsid w:val="004742C6"/>
    <w:rsid w:val="00497376"/>
    <w:rsid w:val="004B3B8D"/>
    <w:rsid w:val="004C7793"/>
    <w:rsid w:val="004D2E6C"/>
    <w:rsid w:val="004D6395"/>
    <w:rsid w:val="004E1BC9"/>
    <w:rsid w:val="004F6B4C"/>
    <w:rsid w:val="005202DD"/>
    <w:rsid w:val="005234A8"/>
    <w:rsid w:val="00534B28"/>
    <w:rsid w:val="00560196"/>
    <w:rsid w:val="00573D08"/>
    <w:rsid w:val="00594054"/>
    <w:rsid w:val="005B6FC4"/>
    <w:rsid w:val="005C5E2C"/>
    <w:rsid w:val="005D5561"/>
    <w:rsid w:val="005D7288"/>
    <w:rsid w:val="005E6ACC"/>
    <w:rsid w:val="005F1FB5"/>
    <w:rsid w:val="00600607"/>
    <w:rsid w:val="00603E16"/>
    <w:rsid w:val="00605421"/>
    <w:rsid w:val="00620471"/>
    <w:rsid w:val="00621131"/>
    <w:rsid w:val="006331E8"/>
    <w:rsid w:val="00644952"/>
    <w:rsid w:val="006D5741"/>
    <w:rsid w:val="00710AB7"/>
    <w:rsid w:val="00713BF7"/>
    <w:rsid w:val="0072283F"/>
    <w:rsid w:val="00724A08"/>
    <w:rsid w:val="00736E07"/>
    <w:rsid w:val="00740443"/>
    <w:rsid w:val="007410F9"/>
    <w:rsid w:val="007446B9"/>
    <w:rsid w:val="00750A9A"/>
    <w:rsid w:val="007556BE"/>
    <w:rsid w:val="00755B9F"/>
    <w:rsid w:val="00771343"/>
    <w:rsid w:val="00774F36"/>
    <w:rsid w:val="00776E3F"/>
    <w:rsid w:val="007B2F74"/>
    <w:rsid w:val="007B3610"/>
    <w:rsid w:val="007C21B4"/>
    <w:rsid w:val="007F145F"/>
    <w:rsid w:val="00804242"/>
    <w:rsid w:val="008107CF"/>
    <w:rsid w:val="008144BF"/>
    <w:rsid w:val="0086461E"/>
    <w:rsid w:val="00874865"/>
    <w:rsid w:val="008829B2"/>
    <w:rsid w:val="008847DB"/>
    <w:rsid w:val="00885B4A"/>
    <w:rsid w:val="00885BB3"/>
    <w:rsid w:val="008A7698"/>
    <w:rsid w:val="008F2ED3"/>
    <w:rsid w:val="008F7D78"/>
    <w:rsid w:val="00910C9F"/>
    <w:rsid w:val="0092498C"/>
    <w:rsid w:val="009262F7"/>
    <w:rsid w:val="0096209F"/>
    <w:rsid w:val="00987500"/>
    <w:rsid w:val="009B4078"/>
    <w:rsid w:val="009D6193"/>
    <w:rsid w:val="009E4F68"/>
    <w:rsid w:val="009F3CE9"/>
    <w:rsid w:val="00A007BA"/>
    <w:rsid w:val="00A017DD"/>
    <w:rsid w:val="00A15716"/>
    <w:rsid w:val="00A215F8"/>
    <w:rsid w:val="00A57D9B"/>
    <w:rsid w:val="00A70582"/>
    <w:rsid w:val="00A71C20"/>
    <w:rsid w:val="00A83AB1"/>
    <w:rsid w:val="00A844E7"/>
    <w:rsid w:val="00A86B8E"/>
    <w:rsid w:val="00AB5C0A"/>
    <w:rsid w:val="00AC2C9C"/>
    <w:rsid w:val="00AF2946"/>
    <w:rsid w:val="00B03030"/>
    <w:rsid w:val="00B203DD"/>
    <w:rsid w:val="00B23DEF"/>
    <w:rsid w:val="00B25B6C"/>
    <w:rsid w:val="00B349D1"/>
    <w:rsid w:val="00B36DBC"/>
    <w:rsid w:val="00B4376F"/>
    <w:rsid w:val="00B46BDC"/>
    <w:rsid w:val="00B65C26"/>
    <w:rsid w:val="00B74D19"/>
    <w:rsid w:val="00B838F7"/>
    <w:rsid w:val="00B95BBD"/>
    <w:rsid w:val="00BA4F8F"/>
    <w:rsid w:val="00BE4A03"/>
    <w:rsid w:val="00BF1931"/>
    <w:rsid w:val="00BF4DD8"/>
    <w:rsid w:val="00BF5DF5"/>
    <w:rsid w:val="00C0570E"/>
    <w:rsid w:val="00C114E9"/>
    <w:rsid w:val="00C205E6"/>
    <w:rsid w:val="00C23561"/>
    <w:rsid w:val="00C27E11"/>
    <w:rsid w:val="00C501BB"/>
    <w:rsid w:val="00C732BC"/>
    <w:rsid w:val="00C84FA9"/>
    <w:rsid w:val="00C8563A"/>
    <w:rsid w:val="00C85BA2"/>
    <w:rsid w:val="00C90C4D"/>
    <w:rsid w:val="00CA3CAF"/>
    <w:rsid w:val="00CD0101"/>
    <w:rsid w:val="00CF62BC"/>
    <w:rsid w:val="00D24728"/>
    <w:rsid w:val="00D30AE2"/>
    <w:rsid w:val="00D31D5C"/>
    <w:rsid w:val="00D329BC"/>
    <w:rsid w:val="00D461CB"/>
    <w:rsid w:val="00D53EF8"/>
    <w:rsid w:val="00D54C61"/>
    <w:rsid w:val="00D555A6"/>
    <w:rsid w:val="00D56CF9"/>
    <w:rsid w:val="00D8545F"/>
    <w:rsid w:val="00DB3BC4"/>
    <w:rsid w:val="00DB7548"/>
    <w:rsid w:val="00DC36A3"/>
    <w:rsid w:val="00DF0120"/>
    <w:rsid w:val="00DF3D4F"/>
    <w:rsid w:val="00E25749"/>
    <w:rsid w:val="00E25A99"/>
    <w:rsid w:val="00E46C6D"/>
    <w:rsid w:val="00E56676"/>
    <w:rsid w:val="00EA3C1E"/>
    <w:rsid w:val="00ED5150"/>
    <w:rsid w:val="00EE47C3"/>
    <w:rsid w:val="00EE6B6E"/>
    <w:rsid w:val="00EE7EF9"/>
    <w:rsid w:val="00F036F4"/>
    <w:rsid w:val="00F04D58"/>
    <w:rsid w:val="00F11EA2"/>
    <w:rsid w:val="00F1727A"/>
    <w:rsid w:val="00F234A4"/>
    <w:rsid w:val="00F316CF"/>
    <w:rsid w:val="00F31843"/>
    <w:rsid w:val="00F53FE6"/>
    <w:rsid w:val="00F57937"/>
    <w:rsid w:val="00F60204"/>
    <w:rsid w:val="00F619AF"/>
    <w:rsid w:val="00F67485"/>
    <w:rsid w:val="00F676BF"/>
    <w:rsid w:val="00F73089"/>
    <w:rsid w:val="00F95263"/>
    <w:rsid w:val="00FA1A5B"/>
    <w:rsid w:val="00FB2D04"/>
    <w:rsid w:val="00FD16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2BF7F"/>
  <w15:chartTrackingRefBased/>
  <w15:docId w15:val="{1AF47280-E6CD-497E-9CE7-E4E0DAB5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6B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132B"/>
    <w:pPr>
      <w:tabs>
        <w:tab w:val="center" w:pos="4153"/>
        <w:tab w:val="right" w:pos="8306"/>
      </w:tabs>
      <w:snapToGrid w:val="0"/>
    </w:pPr>
    <w:rPr>
      <w:sz w:val="20"/>
    </w:rPr>
  </w:style>
  <w:style w:type="character" w:customStyle="1" w:styleId="a4">
    <w:name w:val="頁首 字元"/>
    <w:link w:val="a3"/>
    <w:rsid w:val="0043132B"/>
    <w:rPr>
      <w:kern w:val="2"/>
    </w:rPr>
  </w:style>
  <w:style w:type="paragraph" w:styleId="a5">
    <w:name w:val="footer"/>
    <w:basedOn w:val="a"/>
    <w:link w:val="a6"/>
    <w:rsid w:val="0043132B"/>
    <w:pPr>
      <w:tabs>
        <w:tab w:val="center" w:pos="4153"/>
        <w:tab w:val="right" w:pos="8306"/>
      </w:tabs>
      <w:snapToGrid w:val="0"/>
    </w:pPr>
    <w:rPr>
      <w:sz w:val="20"/>
    </w:rPr>
  </w:style>
  <w:style w:type="character" w:customStyle="1" w:styleId="a6">
    <w:name w:val="頁尾 字元"/>
    <w:link w:val="a5"/>
    <w:rsid w:val="0043132B"/>
    <w:rPr>
      <w:kern w:val="2"/>
    </w:rPr>
  </w:style>
  <w:style w:type="paragraph" w:styleId="a7">
    <w:name w:val="Balloon Text"/>
    <w:basedOn w:val="a"/>
    <w:link w:val="a8"/>
    <w:rsid w:val="00043B29"/>
    <w:rPr>
      <w:rFonts w:asciiTheme="majorHAnsi" w:eastAsiaTheme="majorEastAsia" w:hAnsiTheme="majorHAnsi" w:cstheme="majorBidi"/>
      <w:sz w:val="18"/>
      <w:szCs w:val="18"/>
    </w:rPr>
  </w:style>
  <w:style w:type="character" w:customStyle="1" w:styleId="a8">
    <w:name w:val="註解方塊文字 字元"/>
    <w:basedOn w:val="a0"/>
    <w:link w:val="a7"/>
    <w:rsid w:val="00043B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1360">
      <w:bodyDiv w:val="1"/>
      <w:marLeft w:val="0"/>
      <w:marRight w:val="0"/>
      <w:marTop w:val="0"/>
      <w:marBottom w:val="0"/>
      <w:divBdr>
        <w:top w:val="none" w:sz="0" w:space="0" w:color="auto"/>
        <w:left w:val="none" w:sz="0" w:space="0" w:color="auto"/>
        <w:bottom w:val="none" w:sz="0" w:space="0" w:color="auto"/>
        <w:right w:val="none" w:sz="0" w:space="0" w:color="auto"/>
      </w:divBdr>
    </w:div>
    <w:div w:id="1159229358">
      <w:bodyDiv w:val="1"/>
      <w:marLeft w:val="0"/>
      <w:marRight w:val="0"/>
      <w:marTop w:val="0"/>
      <w:marBottom w:val="0"/>
      <w:divBdr>
        <w:top w:val="none" w:sz="0" w:space="0" w:color="auto"/>
        <w:left w:val="none" w:sz="0" w:space="0" w:color="auto"/>
        <w:bottom w:val="none" w:sz="0" w:space="0" w:color="auto"/>
        <w:right w:val="none" w:sz="0" w:space="0" w:color="auto"/>
      </w:divBdr>
    </w:div>
    <w:div w:id="1537234482">
      <w:bodyDiv w:val="1"/>
      <w:marLeft w:val="0"/>
      <w:marRight w:val="0"/>
      <w:marTop w:val="0"/>
      <w:marBottom w:val="0"/>
      <w:divBdr>
        <w:top w:val="none" w:sz="0" w:space="0" w:color="auto"/>
        <w:left w:val="none" w:sz="0" w:space="0" w:color="auto"/>
        <w:bottom w:val="none" w:sz="0" w:space="0" w:color="auto"/>
        <w:right w:val="none" w:sz="0" w:space="0" w:color="auto"/>
      </w:divBdr>
    </w:div>
    <w:div w:id="19523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2790</Characters>
  <Application>Microsoft Office Word</Application>
  <DocSecurity>0</DocSecurity>
  <Lines>23</Lines>
  <Paragraphs>6</Paragraphs>
  <ScaleCrop>false</ScaleCrop>
  <Company>yz</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Program of the Department of IEM, YZU</dc:title>
  <dc:subject/>
  <dc:creator>YZU</dc:creator>
  <cp:keywords/>
  <cp:lastModifiedBy>mickeylee</cp:lastModifiedBy>
  <cp:revision>2</cp:revision>
  <dcterms:created xsi:type="dcterms:W3CDTF">2021-05-11T03:23:00Z</dcterms:created>
  <dcterms:modified xsi:type="dcterms:W3CDTF">2021-05-11T03:23:00Z</dcterms:modified>
</cp:coreProperties>
</file>